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71" w:rsidRPr="00434240" w:rsidRDefault="006A5C6D" w:rsidP="00434240">
      <w:pPr>
        <w:widowControl w:val="0"/>
        <w:ind w:left="5613"/>
        <w:rPr>
          <w:spacing w:val="40"/>
          <w:sz w:val="28"/>
          <w:szCs w:val="28"/>
        </w:rPr>
      </w:pPr>
      <w:r w:rsidRPr="00434240">
        <w:rPr>
          <w:spacing w:val="40"/>
          <w:sz w:val="28"/>
          <w:szCs w:val="28"/>
        </w:rPr>
        <w:t>УТВЕРЖДАЮ</w:t>
      </w:r>
    </w:p>
    <w:p w:rsidR="006A5C6D" w:rsidRPr="006A5C6D" w:rsidRDefault="00081B22" w:rsidP="00434240">
      <w:pPr>
        <w:ind w:left="5613"/>
        <w:rPr>
          <w:sz w:val="26"/>
          <w:szCs w:val="26"/>
        </w:rPr>
      </w:pPr>
      <w:r>
        <w:rPr>
          <w:noProof/>
          <w:lang w:eastAsia="ko-K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414655</wp:posOffset>
            </wp:positionV>
            <wp:extent cx="1297305" cy="40830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D" w:rsidRPr="006A5C6D">
        <w:rPr>
          <w:sz w:val="26"/>
          <w:szCs w:val="26"/>
        </w:rPr>
        <w:t>Заведующий кафедрой фармацевти</w:t>
      </w:r>
      <w:r w:rsidR="00434240">
        <w:rPr>
          <w:sz w:val="26"/>
          <w:szCs w:val="26"/>
        </w:rPr>
        <w:softHyphen/>
      </w:r>
      <w:r w:rsidR="006A5C6D" w:rsidRPr="006A5C6D">
        <w:rPr>
          <w:sz w:val="26"/>
          <w:szCs w:val="26"/>
        </w:rPr>
        <w:t>ческой</w:t>
      </w:r>
      <w:r w:rsidR="00434240">
        <w:rPr>
          <w:sz w:val="26"/>
          <w:szCs w:val="26"/>
        </w:rPr>
        <w:t xml:space="preserve"> и общей химии</w:t>
      </w:r>
      <w:r w:rsidR="00434240">
        <w:rPr>
          <w:sz w:val="26"/>
          <w:szCs w:val="26"/>
        </w:rPr>
        <w:br/>
      </w:r>
      <w:r w:rsidR="00771946">
        <w:rPr>
          <w:sz w:val="26"/>
          <w:szCs w:val="26"/>
        </w:rPr>
        <w:t xml:space="preserve">к. фарм. н. </w:t>
      </w:r>
      <w:r w:rsidR="006A5C6D" w:rsidRPr="006A5C6D">
        <w:rPr>
          <w:sz w:val="26"/>
          <w:szCs w:val="26"/>
        </w:rPr>
        <w:t>доцент Мальцева Е. М.</w:t>
      </w:r>
      <w:r w:rsidR="006A5C6D" w:rsidRPr="006A5C6D">
        <w:rPr>
          <w:sz w:val="26"/>
          <w:szCs w:val="26"/>
        </w:rPr>
        <w:br/>
        <w:t>___________________</w:t>
      </w:r>
    </w:p>
    <w:p w:rsidR="006A5C6D" w:rsidRPr="006A5C6D" w:rsidRDefault="00E85854" w:rsidP="00FB4663">
      <w:pPr>
        <w:tabs>
          <w:tab w:val="left" w:pos="8143"/>
        </w:tabs>
        <w:ind w:left="5613"/>
        <w:rPr>
          <w:sz w:val="26"/>
          <w:szCs w:val="26"/>
        </w:rPr>
      </w:pPr>
      <w:r>
        <w:rPr>
          <w:sz w:val="26"/>
          <w:szCs w:val="26"/>
          <w:lang w:val="en-US"/>
        </w:rPr>
        <w:t>30</w:t>
      </w:r>
      <w:r w:rsidR="003A52B5">
        <w:rPr>
          <w:sz w:val="26"/>
          <w:szCs w:val="26"/>
        </w:rPr>
        <w:t xml:space="preserve"> августа</w:t>
      </w:r>
      <w:r w:rsidR="006A5C6D" w:rsidRPr="006A5C6D">
        <w:rPr>
          <w:sz w:val="26"/>
          <w:szCs w:val="26"/>
        </w:rPr>
        <w:t xml:space="preserve"> 202</w:t>
      </w:r>
      <w:r>
        <w:rPr>
          <w:sz w:val="26"/>
          <w:szCs w:val="26"/>
          <w:lang w:val="en-US"/>
        </w:rPr>
        <w:t>3</w:t>
      </w:r>
      <w:r w:rsidR="006A5C6D" w:rsidRPr="006A5C6D">
        <w:rPr>
          <w:sz w:val="26"/>
          <w:szCs w:val="26"/>
        </w:rPr>
        <w:t xml:space="preserve"> г.</w:t>
      </w:r>
    </w:p>
    <w:p w:rsidR="00A82271" w:rsidRDefault="00434240" w:rsidP="00A02268">
      <w:pPr>
        <w:spacing w:before="240" w:line="228" w:lineRule="auto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Тематический план практических занятий</w:t>
      </w:r>
      <w:r>
        <w:rPr>
          <w:b/>
          <w:caps/>
          <w:sz w:val="32"/>
          <w:szCs w:val="32"/>
        </w:rPr>
        <w:br/>
      </w:r>
      <w:r w:rsidRPr="00434240">
        <w:rPr>
          <w:b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«Общая и неорганическая Химия»</w:t>
      </w:r>
      <w:r>
        <w:rPr>
          <w:b/>
          <w:caps/>
          <w:sz w:val="32"/>
          <w:szCs w:val="32"/>
        </w:rPr>
        <w:br/>
      </w:r>
      <w:r w:rsidRPr="00434240">
        <w:rPr>
          <w:sz w:val="32"/>
          <w:szCs w:val="32"/>
        </w:rPr>
        <w:t>для</w:t>
      </w:r>
      <w:r>
        <w:rPr>
          <w:sz w:val="32"/>
          <w:szCs w:val="32"/>
        </w:rPr>
        <w:t xml:space="preserve"> студентов первого курса Фармацевтического факультета</w:t>
      </w:r>
    </w:p>
    <w:p w:rsidR="00434240" w:rsidRDefault="00434240" w:rsidP="00A02268">
      <w:pPr>
        <w:spacing w:after="240" w:line="228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Первый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семестр 202</w:t>
      </w:r>
      <w:r w:rsidR="00E85854"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>...202</w:t>
      </w:r>
      <w:r w:rsidR="00E85854"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 xml:space="preserve"> учебного года</w:t>
      </w:r>
    </w:p>
    <w:tbl>
      <w:tblPr>
        <w:tblStyle w:val="a8"/>
        <w:tblW w:w="0" w:type="auto"/>
        <w:tblLayout w:type="fixed"/>
        <w:tblLook w:val="01E0"/>
      </w:tblPr>
      <w:tblGrid>
        <w:gridCol w:w="567"/>
        <w:gridCol w:w="8108"/>
        <w:gridCol w:w="1134"/>
      </w:tblGrid>
      <w:tr w:rsidR="00434240" w:rsidTr="00A02268">
        <w:trPr>
          <w:trHeight w:hRule="exact" w:val="567"/>
        </w:trPr>
        <w:tc>
          <w:tcPr>
            <w:tcW w:w="567" w:type="dxa"/>
            <w:vAlign w:val="center"/>
          </w:tcPr>
          <w:p w:rsidR="00434240" w:rsidRDefault="00434240" w:rsidP="00434240">
            <w:pPr>
              <w:spacing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8108" w:type="dxa"/>
            <w:vAlign w:val="center"/>
          </w:tcPr>
          <w:p w:rsidR="00434240" w:rsidRPr="00434240" w:rsidRDefault="00434240" w:rsidP="00A02268">
            <w:pPr>
              <w:spacing w:line="211" w:lineRule="auto"/>
              <w:jc w:val="center"/>
              <w:rPr>
                <w:sz w:val="32"/>
                <w:szCs w:val="32"/>
              </w:rPr>
            </w:pPr>
            <w:r w:rsidRPr="00434240">
              <w:rPr>
                <w:sz w:val="32"/>
                <w:szCs w:val="32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434240" w:rsidRPr="00434240" w:rsidRDefault="00434240" w:rsidP="00A02268">
            <w:pPr>
              <w:spacing w:line="206" w:lineRule="auto"/>
              <w:rPr>
                <w:szCs w:val="32"/>
              </w:rPr>
            </w:pPr>
            <w:r w:rsidRPr="00434240">
              <w:rPr>
                <w:szCs w:val="32"/>
              </w:rPr>
              <w:t xml:space="preserve">Кол-во </w:t>
            </w:r>
            <w:r w:rsidRPr="00A02268">
              <w:rPr>
                <w:spacing w:val="-2"/>
                <w:szCs w:val="32"/>
              </w:rPr>
              <w:t>уч. часов</w:t>
            </w:r>
          </w:p>
        </w:tc>
      </w:tr>
      <w:tr w:rsidR="00434240" w:rsidTr="00A02268">
        <w:trPr>
          <w:trHeight w:hRule="exact" w:val="567"/>
        </w:trPr>
        <w:tc>
          <w:tcPr>
            <w:tcW w:w="567" w:type="dxa"/>
            <w:vAlign w:val="center"/>
          </w:tcPr>
          <w:p w:rsidR="00434240" w:rsidRPr="00A02268" w:rsidRDefault="00434240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1</w:t>
            </w:r>
          </w:p>
        </w:tc>
        <w:tc>
          <w:tcPr>
            <w:tcW w:w="8108" w:type="dxa"/>
            <w:vAlign w:val="center"/>
          </w:tcPr>
          <w:p w:rsidR="00434240" w:rsidRPr="00E876AC" w:rsidRDefault="00434240" w:rsidP="00A02268">
            <w:pPr>
              <w:spacing w:line="204" w:lineRule="auto"/>
            </w:pPr>
            <w:r>
              <w:t xml:space="preserve">Стехиометрические расчеты. </w:t>
            </w:r>
            <w:r w:rsidR="00A02268">
              <w:t>Эквивалент. Закон эквивалентов.</w:t>
            </w:r>
            <w:r w:rsidR="00A02268">
              <w:br/>
            </w:r>
            <w:r>
              <w:t>Уравнение состояния идеального газа</w:t>
            </w:r>
          </w:p>
        </w:tc>
        <w:tc>
          <w:tcPr>
            <w:tcW w:w="1134" w:type="dxa"/>
            <w:vAlign w:val="center"/>
          </w:tcPr>
          <w:p w:rsidR="00434240" w:rsidRPr="00A02268" w:rsidRDefault="00434240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0A1680">
        <w:trPr>
          <w:trHeight w:hRule="exact" w:val="425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2</w:t>
            </w:r>
          </w:p>
        </w:tc>
        <w:tc>
          <w:tcPr>
            <w:tcW w:w="8108" w:type="dxa"/>
            <w:vAlign w:val="center"/>
          </w:tcPr>
          <w:p w:rsidR="00A02268" w:rsidRDefault="00A02268" w:rsidP="00A02268">
            <w:pPr>
              <w:spacing w:line="204" w:lineRule="auto"/>
            </w:pPr>
            <w:r>
              <w:t>Способы выражения концентрации вещества в растворе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0A1680">
        <w:trPr>
          <w:trHeight w:hRule="exact" w:val="425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3</w:t>
            </w:r>
          </w:p>
        </w:tc>
        <w:tc>
          <w:tcPr>
            <w:tcW w:w="8108" w:type="dxa"/>
            <w:vAlign w:val="center"/>
          </w:tcPr>
          <w:p w:rsidR="00A02268" w:rsidRPr="00796AAB" w:rsidRDefault="00A02268" w:rsidP="00A02268">
            <w:pPr>
              <w:spacing w:line="204" w:lineRule="auto"/>
            </w:pPr>
            <w:r w:rsidRPr="00E105B8">
              <w:t>Лабораторная работа «Определение молярной массы эквивалента солей</w:t>
            </w:r>
            <w:r>
              <w:t>»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0A1680">
        <w:trPr>
          <w:trHeight w:hRule="exact" w:val="425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4</w:t>
            </w:r>
          </w:p>
        </w:tc>
        <w:tc>
          <w:tcPr>
            <w:tcW w:w="8108" w:type="dxa"/>
            <w:vAlign w:val="center"/>
          </w:tcPr>
          <w:p w:rsidR="00A02268" w:rsidRDefault="00A02268" w:rsidP="00A02268">
            <w:pPr>
              <w:spacing w:line="204" w:lineRule="auto"/>
            </w:pPr>
            <w:r>
              <w:t>Химическая связь и строение молекул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0A1680">
        <w:trPr>
          <w:trHeight w:hRule="exact" w:val="425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5</w:t>
            </w:r>
          </w:p>
        </w:tc>
        <w:tc>
          <w:tcPr>
            <w:tcW w:w="8108" w:type="dxa"/>
            <w:vAlign w:val="center"/>
          </w:tcPr>
          <w:p w:rsidR="00A02268" w:rsidRPr="00796AAB" w:rsidRDefault="00A02268" w:rsidP="00A02268">
            <w:pPr>
              <w:spacing w:line="204" w:lineRule="auto"/>
            </w:pPr>
            <w:r>
              <w:t>Скорость химических реакций и химическое равновесие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A02268">
        <w:trPr>
          <w:trHeight w:hRule="exact" w:val="567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6</w:t>
            </w:r>
          </w:p>
        </w:tc>
        <w:tc>
          <w:tcPr>
            <w:tcW w:w="8108" w:type="dxa"/>
            <w:vAlign w:val="center"/>
          </w:tcPr>
          <w:p w:rsidR="00A02268" w:rsidRDefault="00A02268" w:rsidP="00A02268">
            <w:pPr>
              <w:pStyle w:val="1"/>
              <w:spacing w:before="0" w:line="204" w:lineRule="auto"/>
              <w:outlineLvl w:val="0"/>
            </w:pPr>
            <w:r>
              <w:t>Коллоквиум 1: Закон эквивалентов. Концентрация. Химическая связь.</w:t>
            </w:r>
            <w:r>
              <w:br/>
              <w:t>Скорость реакций и равновесие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A02268">
        <w:trPr>
          <w:trHeight w:hRule="exact" w:val="510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7</w:t>
            </w:r>
          </w:p>
        </w:tc>
        <w:tc>
          <w:tcPr>
            <w:tcW w:w="8108" w:type="dxa"/>
            <w:vAlign w:val="center"/>
          </w:tcPr>
          <w:p w:rsidR="00A02268" w:rsidRDefault="00A02268" w:rsidP="00A02268">
            <w:pPr>
              <w:spacing w:line="204" w:lineRule="auto"/>
            </w:pPr>
            <w:r>
              <w:t>Окислительно-восстановительные реакции и электродные потенциалы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A02268">
        <w:trPr>
          <w:trHeight w:hRule="exact" w:val="567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8</w:t>
            </w:r>
          </w:p>
        </w:tc>
        <w:tc>
          <w:tcPr>
            <w:tcW w:w="8108" w:type="dxa"/>
            <w:vAlign w:val="center"/>
          </w:tcPr>
          <w:p w:rsidR="00A02268" w:rsidRDefault="00A02268" w:rsidP="00A02268">
            <w:pPr>
              <w:spacing w:line="204" w:lineRule="auto"/>
            </w:pPr>
            <w:r w:rsidRPr="00E105B8">
              <w:t>Лабораторная работа «</w:t>
            </w:r>
            <w:r>
              <w:t>Окислительно-восстановительные реакции». Контроль по теме «Окислительно-восстановительные реакции»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0A1680">
        <w:trPr>
          <w:trHeight w:hRule="exact" w:val="425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9</w:t>
            </w:r>
          </w:p>
        </w:tc>
        <w:tc>
          <w:tcPr>
            <w:tcW w:w="8108" w:type="dxa"/>
            <w:vAlign w:val="center"/>
          </w:tcPr>
          <w:p w:rsidR="00A02268" w:rsidRDefault="00A02268" w:rsidP="00A02268">
            <w:pPr>
              <w:spacing w:line="204" w:lineRule="auto"/>
            </w:pPr>
            <w:r>
              <w:t>Комплексные соединения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A02268">
        <w:trPr>
          <w:trHeight w:hRule="exact" w:val="567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10</w:t>
            </w:r>
          </w:p>
        </w:tc>
        <w:tc>
          <w:tcPr>
            <w:tcW w:w="8108" w:type="dxa"/>
            <w:vAlign w:val="center"/>
          </w:tcPr>
          <w:p w:rsidR="00A02268" w:rsidRDefault="00A02268" w:rsidP="00A02268">
            <w:pPr>
              <w:spacing w:line="204" w:lineRule="auto"/>
            </w:pPr>
            <w:r w:rsidRPr="00B87C32">
              <w:rPr>
                <w:spacing w:val="-2"/>
              </w:rPr>
              <w:t>Лабораторная работа «Комплексные соединения».</w:t>
            </w:r>
            <w:r>
              <w:t xml:space="preserve"> Контроль по теме «Комплексные соединения»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0A1680">
        <w:trPr>
          <w:trHeight w:hRule="exact" w:val="425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11</w:t>
            </w:r>
          </w:p>
        </w:tc>
        <w:tc>
          <w:tcPr>
            <w:tcW w:w="8108" w:type="dxa"/>
            <w:vAlign w:val="center"/>
          </w:tcPr>
          <w:p w:rsidR="00A02268" w:rsidRDefault="00A02268" w:rsidP="00A02268">
            <w:pPr>
              <w:spacing w:line="204" w:lineRule="auto"/>
            </w:pPr>
            <w:r>
              <w:t>Коллигативные свойства растворов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A02268">
        <w:trPr>
          <w:trHeight w:hRule="exact" w:val="567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12</w:t>
            </w:r>
          </w:p>
        </w:tc>
        <w:tc>
          <w:tcPr>
            <w:tcW w:w="8108" w:type="dxa"/>
            <w:vAlign w:val="center"/>
          </w:tcPr>
          <w:p w:rsidR="00A02268" w:rsidRDefault="00A02268" w:rsidP="00A02268">
            <w:pPr>
              <w:spacing w:line="204" w:lineRule="auto"/>
            </w:pPr>
            <w:r>
              <w:t>Степень и константа ионизации. Активность ионов в растворе. Равновесие между осадком и раствором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A02268">
        <w:trPr>
          <w:trHeight w:hRule="exact" w:val="567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13</w:t>
            </w:r>
          </w:p>
        </w:tc>
        <w:tc>
          <w:tcPr>
            <w:tcW w:w="8108" w:type="dxa"/>
            <w:vAlign w:val="center"/>
          </w:tcPr>
          <w:p w:rsidR="00A02268" w:rsidRPr="00092FA8" w:rsidRDefault="00A02268" w:rsidP="00A02268">
            <w:pPr>
              <w:pStyle w:val="a9"/>
              <w:spacing w:line="204" w:lineRule="auto"/>
            </w:pPr>
            <w:r>
              <w:t>Кислотно-основное равновесие. Водородный показатель (</w:t>
            </w:r>
            <w:r w:rsidRPr="00B87C32">
              <w:rPr>
                <w:lang w:val="en-US"/>
              </w:rPr>
              <w:t>pH</w:t>
            </w:r>
            <w:r>
              <w:t>)</w:t>
            </w:r>
            <w:r w:rsidRPr="00B87C32">
              <w:rPr>
                <w:szCs w:val="24"/>
              </w:rPr>
              <w:t>. Кислотно-основные свойства водных растворов солей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A02268">
        <w:trPr>
          <w:trHeight w:hRule="exact" w:val="567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14</w:t>
            </w:r>
          </w:p>
        </w:tc>
        <w:tc>
          <w:tcPr>
            <w:tcW w:w="8108" w:type="dxa"/>
            <w:vAlign w:val="center"/>
          </w:tcPr>
          <w:p w:rsidR="00A02268" w:rsidRPr="00B87C32" w:rsidRDefault="00A02268" w:rsidP="00A02268">
            <w:pPr>
              <w:pStyle w:val="a9"/>
              <w:spacing w:line="204" w:lineRule="auto"/>
              <w:rPr>
                <w:sz w:val="22"/>
                <w:szCs w:val="22"/>
              </w:rPr>
            </w:pPr>
            <w:r w:rsidRPr="00B87C32">
              <w:rPr>
                <w:sz w:val="22"/>
                <w:szCs w:val="22"/>
              </w:rPr>
              <w:t xml:space="preserve">Лабораторная работа «Кислотно-основные реакции. Определение </w:t>
            </w:r>
            <w:r w:rsidRPr="00B87C32">
              <w:rPr>
                <w:sz w:val="22"/>
                <w:szCs w:val="22"/>
                <w:lang w:val="en-US"/>
              </w:rPr>
              <w:t>pH</w:t>
            </w:r>
            <w:r w:rsidRPr="00B87C32">
              <w:rPr>
                <w:sz w:val="22"/>
                <w:szCs w:val="22"/>
              </w:rPr>
              <w:t xml:space="preserve"> растворов при помощи индикаторов». Контроль по теме «Кислотно-основное равновесие»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0A1680">
        <w:trPr>
          <w:trHeight w:hRule="exact" w:val="680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15</w:t>
            </w:r>
          </w:p>
        </w:tc>
        <w:tc>
          <w:tcPr>
            <w:tcW w:w="8108" w:type="dxa"/>
            <w:vAlign w:val="center"/>
          </w:tcPr>
          <w:p w:rsidR="00A02268" w:rsidRPr="00B87C32" w:rsidRDefault="00A02268" w:rsidP="00A02268">
            <w:pPr>
              <w:pStyle w:val="1"/>
              <w:spacing w:before="0" w:line="204" w:lineRule="auto"/>
              <w:outlineLvl w:val="0"/>
              <w:rPr>
                <w:sz w:val="20"/>
              </w:rPr>
            </w:pPr>
            <w:r w:rsidRPr="00B87C32">
              <w:rPr>
                <w:sz w:val="20"/>
              </w:rPr>
              <w:t xml:space="preserve">Коллоквиум 2: ОВ реакции. Комплексные соединения. Коллигативные свойства растворов. Активность. Степень и </w:t>
            </w:r>
            <w:r w:rsidRPr="00B87C32">
              <w:rPr>
                <w:spacing w:val="-2"/>
                <w:sz w:val="20"/>
              </w:rPr>
              <w:t xml:space="preserve">константа ионизации. </w:t>
            </w:r>
            <w:r w:rsidRPr="00B87C32">
              <w:rPr>
                <w:sz w:val="20"/>
              </w:rPr>
              <w:t>Равнов</w:t>
            </w:r>
            <w:r>
              <w:rPr>
                <w:sz w:val="20"/>
              </w:rPr>
              <w:t>есие между осадком и раствором.</w:t>
            </w:r>
            <w:r>
              <w:rPr>
                <w:sz w:val="20"/>
              </w:rPr>
              <w:br/>
            </w:r>
            <w:r w:rsidRPr="00B87C32">
              <w:rPr>
                <w:sz w:val="20"/>
              </w:rPr>
              <w:t>Кислотно-основное равновесие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0A1680">
        <w:trPr>
          <w:trHeight w:hRule="exact" w:val="425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16</w:t>
            </w:r>
          </w:p>
        </w:tc>
        <w:tc>
          <w:tcPr>
            <w:tcW w:w="8108" w:type="dxa"/>
            <w:vAlign w:val="center"/>
          </w:tcPr>
          <w:p w:rsidR="00A02268" w:rsidRPr="00B87C32" w:rsidRDefault="00A02268" w:rsidP="00A02268">
            <w:pPr>
              <w:spacing w:before="60" w:after="60" w:line="204" w:lineRule="auto"/>
              <w:rPr>
                <w:rFonts w:eastAsia="Calibri"/>
                <w:lang w:eastAsia="en-US"/>
              </w:rPr>
            </w:pPr>
            <w:r w:rsidRPr="00A709C6">
              <w:t xml:space="preserve">Химия </w:t>
            </w:r>
            <w:r w:rsidRPr="00B87C32">
              <w:rPr>
                <w:spacing w:val="-4"/>
              </w:rPr>
              <w:t xml:space="preserve">металлов </w:t>
            </w:r>
            <w:r w:rsidRPr="00B87C32">
              <w:rPr>
                <w:lang w:val="en-US"/>
              </w:rPr>
              <w:t>Ia</w:t>
            </w:r>
            <w:r w:rsidRPr="00A709C6">
              <w:t xml:space="preserve">, </w:t>
            </w:r>
            <w:r w:rsidRPr="00B87C32">
              <w:rPr>
                <w:lang w:val="en-US"/>
              </w:rPr>
              <w:t>IIa</w:t>
            </w:r>
            <w:r w:rsidRPr="00A709C6">
              <w:t xml:space="preserve">, </w:t>
            </w:r>
            <w:r w:rsidRPr="00B87C32">
              <w:rPr>
                <w:lang w:val="en-US"/>
              </w:rPr>
              <w:t>IIIa</w:t>
            </w:r>
            <w:r w:rsidRPr="00A709C6">
              <w:t xml:space="preserve"> групп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0A1680">
        <w:trPr>
          <w:trHeight w:hRule="exact" w:val="425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17</w:t>
            </w:r>
          </w:p>
        </w:tc>
        <w:tc>
          <w:tcPr>
            <w:tcW w:w="8108" w:type="dxa"/>
            <w:vAlign w:val="center"/>
          </w:tcPr>
          <w:p w:rsidR="00A02268" w:rsidRPr="00B87C32" w:rsidRDefault="00A02268" w:rsidP="00A02268">
            <w:pPr>
              <w:spacing w:before="60" w:after="60" w:line="204" w:lineRule="auto"/>
              <w:rPr>
                <w:rFonts w:eastAsia="Calibri"/>
                <w:lang w:eastAsia="en-US"/>
              </w:rPr>
            </w:pPr>
            <w:r w:rsidRPr="00A709C6">
              <w:t>Химия неметаллов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A02268" w:rsidTr="000A1680">
        <w:trPr>
          <w:trHeight w:hRule="exact" w:val="425"/>
        </w:trPr>
        <w:tc>
          <w:tcPr>
            <w:tcW w:w="567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Cs w:val="32"/>
              </w:rPr>
            </w:pPr>
            <w:r w:rsidRPr="00A02268">
              <w:rPr>
                <w:szCs w:val="32"/>
              </w:rPr>
              <w:t>18</w:t>
            </w:r>
          </w:p>
        </w:tc>
        <w:tc>
          <w:tcPr>
            <w:tcW w:w="8108" w:type="dxa"/>
            <w:vAlign w:val="center"/>
          </w:tcPr>
          <w:p w:rsidR="00A02268" w:rsidRPr="00B87C32" w:rsidRDefault="00A02268" w:rsidP="00A02268">
            <w:pPr>
              <w:spacing w:before="60" w:after="60" w:line="204" w:lineRule="auto"/>
              <w:rPr>
                <w:rFonts w:eastAsia="Calibri"/>
                <w:lang w:eastAsia="en-US"/>
              </w:rPr>
            </w:pPr>
            <w:r w:rsidRPr="00A709C6">
              <w:t xml:space="preserve">Химия </w:t>
            </w:r>
            <w:r>
              <w:t xml:space="preserve">тяжелых металлов и </w:t>
            </w:r>
            <w:r w:rsidRPr="00B87C32">
              <w:rPr>
                <w:lang w:val="en-US"/>
              </w:rPr>
              <w:t>d</w:t>
            </w:r>
            <w:r w:rsidRPr="00A709C6">
              <w:t>-элементов</w:t>
            </w:r>
          </w:p>
        </w:tc>
        <w:tc>
          <w:tcPr>
            <w:tcW w:w="1134" w:type="dxa"/>
            <w:vAlign w:val="center"/>
          </w:tcPr>
          <w:p w:rsidR="00A02268" w:rsidRPr="00A02268" w:rsidRDefault="00A02268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A02268">
              <w:rPr>
                <w:sz w:val="28"/>
                <w:szCs w:val="32"/>
              </w:rPr>
              <w:t>4</w:t>
            </w:r>
          </w:p>
        </w:tc>
      </w:tr>
      <w:tr w:rsidR="000A1680" w:rsidTr="000A1680">
        <w:trPr>
          <w:trHeight w:hRule="exact" w:val="425"/>
        </w:trPr>
        <w:tc>
          <w:tcPr>
            <w:tcW w:w="567" w:type="dxa"/>
            <w:vAlign w:val="center"/>
          </w:tcPr>
          <w:p w:rsidR="000A1680" w:rsidRPr="00A02268" w:rsidRDefault="000A1680" w:rsidP="00A02268">
            <w:pPr>
              <w:spacing w:line="204" w:lineRule="auto"/>
              <w:jc w:val="center"/>
              <w:rPr>
                <w:szCs w:val="32"/>
              </w:rPr>
            </w:pPr>
          </w:p>
        </w:tc>
        <w:tc>
          <w:tcPr>
            <w:tcW w:w="8108" w:type="dxa"/>
            <w:vAlign w:val="center"/>
          </w:tcPr>
          <w:p w:rsidR="000A1680" w:rsidRPr="000A1680" w:rsidRDefault="000A1680" w:rsidP="00A02268">
            <w:pPr>
              <w:spacing w:before="60" w:after="60" w:line="204" w:lineRule="auto"/>
              <w:rPr>
                <w:b/>
              </w:rPr>
            </w:pPr>
            <w:r w:rsidRPr="000A1680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0A1680" w:rsidRPr="00A02268" w:rsidRDefault="000A1680" w:rsidP="00A02268">
            <w:pPr>
              <w:spacing w:line="204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72</w:t>
            </w:r>
          </w:p>
        </w:tc>
      </w:tr>
    </w:tbl>
    <w:p w:rsidR="00605D5C" w:rsidRPr="000A1680" w:rsidRDefault="00605D5C" w:rsidP="000A1680">
      <w:pPr>
        <w:jc w:val="center"/>
        <w:rPr>
          <w:sz w:val="16"/>
        </w:rPr>
      </w:pPr>
    </w:p>
    <w:sectPr w:rsidR="00605D5C" w:rsidRPr="000A1680" w:rsidSect="00815665">
      <w:headerReference w:type="default" r:id="rId8"/>
      <w:headerReference w:type="first" r:id="rId9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ADB" w:rsidRDefault="009D1ADB" w:rsidP="00A82271">
      <w:r>
        <w:separator/>
      </w:r>
    </w:p>
  </w:endnote>
  <w:endnote w:type="continuationSeparator" w:id="0">
    <w:p w:rsidR="009D1ADB" w:rsidRDefault="009D1ADB" w:rsidP="00A8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ADB" w:rsidRDefault="009D1ADB" w:rsidP="00A82271">
      <w:r>
        <w:separator/>
      </w:r>
    </w:p>
  </w:footnote>
  <w:footnote w:type="continuationSeparator" w:id="0">
    <w:p w:rsidR="009D1ADB" w:rsidRDefault="009D1ADB" w:rsidP="00A82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68" w:rsidRDefault="00081B22" w:rsidP="002A4887">
    <w:pPr>
      <w:pStyle w:val="a3"/>
      <w:pBdr>
        <w:bottom w:val="triple" w:sz="4" w:space="1" w:color="auto"/>
      </w:pBdr>
      <w:ind w:left="397"/>
      <w:jc w:val="center"/>
      <w:rPr>
        <w:rFonts w:eastAsia="Times New Roman"/>
      </w:rPr>
    </w:pPr>
    <w:r>
      <w:rPr>
        <w:noProof/>
        <w:sz w:val="23"/>
        <w:szCs w:val="23"/>
        <w:lang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-73025</wp:posOffset>
          </wp:positionV>
          <wp:extent cx="918845" cy="688975"/>
          <wp:effectExtent l="19050" t="0" r="0" b="0"/>
          <wp:wrapSquare wrapText="right"/>
          <wp:docPr id="2" name="Рисунок 1" descr="УМУ_ ЛОГОТИП университе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УМУ_ ЛОГОТИП университет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268" w:rsidRPr="006A5C6D">
      <w:rPr>
        <w:rFonts w:eastAsia="Times New Roman"/>
        <w:sz w:val="23"/>
        <w:szCs w:val="23"/>
      </w:rPr>
      <w:t>федеральное государственное бюджетное образовательное учреждение высшего образования</w:t>
    </w:r>
    <w:r w:rsidR="00A02268" w:rsidRPr="00CF14F1">
      <w:rPr>
        <w:rFonts w:eastAsia="Times New Roman"/>
      </w:rPr>
      <w:t xml:space="preserve"> «Кемеровский государст</w:t>
    </w:r>
    <w:r w:rsidR="00A02268">
      <w:rPr>
        <w:rFonts w:eastAsia="Times New Roman"/>
      </w:rPr>
      <w:t>венный медицинский университет»</w:t>
    </w:r>
    <w:r w:rsidR="00A02268">
      <w:rPr>
        <w:rFonts w:eastAsia="Times New Roman"/>
      </w:rPr>
      <w:br/>
    </w:r>
    <w:r w:rsidR="00A02268" w:rsidRPr="00CF14F1">
      <w:rPr>
        <w:rFonts w:eastAsia="Times New Roman"/>
      </w:rPr>
      <w:t>Министерства здравоохранения Российской Федерации</w:t>
    </w:r>
  </w:p>
  <w:p w:rsidR="00A02268" w:rsidRDefault="00A022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68" w:rsidRDefault="00081B22" w:rsidP="002A4887">
    <w:pPr>
      <w:pStyle w:val="a3"/>
      <w:pBdr>
        <w:bottom w:val="triple" w:sz="4" w:space="1" w:color="auto"/>
      </w:pBdr>
      <w:ind w:left="397"/>
      <w:jc w:val="center"/>
      <w:rPr>
        <w:rFonts w:eastAsia="Times New Roman"/>
      </w:rPr>
    </w:pPr>
    <w:r>
      <w:rPr>
        <w:noProof/>
        <w:sz w:val="23"/>
        <w:szCs w:val="23"/>
        <w:lang w:eastAsia="ko-K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-73025</wp:posOffset>
          </wp:positionV>
          <wp:extent cx="918845" cy="688975"/>
          <wp:effectExtent l="19050" t="0" r="0" b="0"/>
          <wp:wrapSquare wrapText="right"/>
          <wp:docPr id="1" name="Рисунок 1" descr="УМУ_ ЛОГОТИП университе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УМУ_ ЛОГОТИП университет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268" w:rsidRPr="006A5C6D">
      <w:rPr>
        <w:rFonts w:eastAsia="Times New Roman"/>
        <w:sz w:val="23"/>
        <w:szCs w:val="23"/>
      </w:rPr>
      <w:t>федеральное государственное бюджетное образовательное учреждение высшего образования</w:t>
    </w:r>
    <w:r w:rsidR="00A02268" w:rsidRPr="00CF14F1">
      <w:rPr>
        <w:rFonts w:eastAsia="Times New Roman"/>
      </w:rPr>
      <w:t xml:space="preserve"> «Кемеровский государст</w:t>
    </w:r>
    <w:r w:rsidR="00A02268">
      <w:rPr>
        <w:rFonts w:eastAsia="Times New Roman"/>
      </w:rPr>
      <w:t>венный медицинский университет»</w:t>
    </w:r>
    <w:r w:rsidR="00A02268">
      <w:rPr>
        <w:rFonts w:eastAsia="Times New Roman"/>
      </w:rPr>
      <w:br/>
    </w:r>
    <w:r w:rsidR="00A02268" w:rsidRPr="00CF14F1">
      <w:rPr>
        <w:rFonts w:eastAsia="Times New Roman"/>
      </w:rPr>
      <w:t>Министерства здравоохранения Российской Федерации</w:t>
    </w:r>
  </w:p>
  <w:p w:rsidR="00A02268" w:rsidRPr="002A4887" w:rsidRDefault="00A02268" w:rsidP="002A4887">
    <w:pPr>
      <w:pStyle w:val="a3"/>
      <w:ind w:left="397"/>
      <w:jc w:val="center"/>
      <w:rPr>
        <w:rFonts w:eastAsia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082"/>
    <w:multiLevelType w:val="hybridMultilevel"/>
    <w:tmpl w:val="E066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autoHyphenation/>
  <w:hyphenationZone w:val="357"/>
  <w:doNotHyphenateCap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429D3"/>
    <w:rsid w:val="00001B73"/>
    <w:rsid w:val="00081B22"/>
    <w:rsid w:val="00092FA8"/>
    <w:rsid w:val="000A1680"/>
    <w:rsid w:val="00104EF5"/>
    <w:rsid w:val="00117F74"/>
    <w:rsid w:val="00267F1A"/>
    <w:rsid w:val="002A4887"/>
    <w:rsid w:val="0036398F"/>
    <w:rsid w:val="003A52B5"/>
    <w:rsid w:val="003F6BF6"/>
    <w:rsid w:val="004026BC"/>
    <w:rsid w:val="00434240"/>
    <w:rsid w:val="004429D3"/>
    <w:rsid w:val="00456FAE"/>
    <w:rsid w:val="005045B4"/>
    <w:rsid w:val="00584FED"/>
    <w:rsid w:val="005D7E33"/>
    <w:rsid w:val="00605D5C"/>
    <w:rsid w:val="00612CCB"/>
    <w:rsid w:val="00622F27"/>
    <w:rsid w:val="006A5C6D"/>
    <w:rsid w:val="00771946"/>
    <w:rsid w:val="00775454"/>
    <w:rsid w:val="007811C4"/>
    <w:rsid w:val="00815665"/>
    <w:rsid w:val="008B3909"/>
    <w:rsid w:val="009B58C9"/>
    <w:rsid w:val="009D1ADB"/>
    <w:rsid w:val="009E26C1"/>
    <w:rsid w:val="00A02268"/>
    <w:rsid w:val="00A06D45"/>
    <w:rsid w:val="00A82271"/>
    <w:rsid w:val="00B87C32"/>
    <w:rsid w:val="00BB2AC7"/>
    <w:rsid w:val="00D5244D"/>
    <w:rsid w:val="00E85854"/>
    <w:rsid w:val="00FA4F02"/>
    <w:rsid w:val="00FB4663"/>
    <w:rsid w:val="00FD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71"/>
    <w:pPr>
      <w:suppressAutoHyphens/>
    </w:pPr>
    <w:rPr>
      <w:rFonts w:ascii="Times New Roman" w:eastAsia="MS Mincho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58C9"/>
    <w:pPr>
      <w:keepNext/>
      <w:suppressAutoHyphens w:val="0"/>
      <w:spacing w:before="120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227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A822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8227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A82271"/>
    <w:pPr>
      <w:tabs>
        <w:tab w:val="num" w:pos="360"/>
      </w:tabs>
      <w:suppressAutoHyphens w:val="0"/>
      <w:spacing w:before="100" w:beforeAutospacing="1" w:after="100" w:afterAutospacing="1"/>
      <w:ind w:left="360" w:hanging="360"/>
    </w:pPr>
    <w:rPr>
      <w:rFonts w:eastAsia="Times New Roman"/>
      <w:lang w:eastAsia="ru-RU"/>
    </w:rPr>
  </w:style>
  <w:style w:type="table" w:styleId="a8">
    <w:name w:val="Table Grid"/>
    <w:basedOn w:val="a1"/>
    <w:rsid w:val="006A5C6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2A4887"/>
    <w:pPr>
      <w:suppressAutoHyphens w:val="0"/>
    </w:pPr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58C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</vt:lpstr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Маргарита Николевна Синькова</dc:creator>
  <cp:lastModifiedBy>Denis</cp:lastModifiedBy>
  <cp:revision>3</cp:revision>
  <cp:lastPrinted>2020-09-11T07:06:00Z</cp:lastPrinted>
  <dcterms:created xsi:type="dcterms:W3CDTF">2023-08-31T00:57:00Z</dcterms:created>
  <dcterms:modified xsi:type="dcterms:W3CDTF">2023-08-31T00:57:00Z</dcterms:modified>
</cp:coreProperties>
</file>