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6E08FE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6E08FE">
              <w:rPr>
                <w:b/>
                <w:color w:val="000000"/>
                <w:spacing w:val="1"/>
              </w:rPr>
              <w:t>судебной медицины и медицинского права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E76017" w:rsidRDefault="009D447B" w:rsidP="009D447B">
      <w:pPr>
        <w:pStyle w:val="Default"/>
        <w:jc w:val="center"/>
        <w:rPr>
          <w:b/>
          <w:sz w:val="28"/>
          <w:szCs w:val="28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ДИСЦИПЛИНЫ </w:t>
      </w:r>
    </w:p>
    <w:p w:rsid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«</w:t>
      </w:r>
      <w:r w:rsidR="00E76017">
        <w:rPr>
          <w:b/>
          <w:bCs/>
          <w:sz w:val="28"/>
          <w:szCs w:val="28"/>
          <w:lang w:eastAsia="ru-RU"/>
        </w:rPr>
        <w:t>СУДЕБНАЯ МЕДИЦИНА</w:t>
      </w:r>
      <w:r w:rsidRPr="009D447B">
        <w:rPr>
          <w:b/>
          <w:bCs/>
          <w:sz w:val="28"/>
          <w:szCs w:val="28"/>
          <w:lang w:eastAsia="ru-RU"/>
        </w:rPr>
        <w:t xml:space="preserve">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E76017" w:rsidP="009D447B">
      <w:pPr>
        <w:jc w:val="center"/>
        <w:rPr>
          <w:b/>
        </w:rPr>
      </w:pPr>
      <w:r>
        <w:rPr>
          <w:b/>
        </w:rPr>
        <w:t>31.08.10</w:t>
      </w:r>
      <w:r w:rsidR="009D447B" w:rsidRPr="009D447B">
        <w:rPr>
          <w:b/>
          <w:bCs/>
        </w:rPr>
        <w:t xml:space="preserve"> </w:t>
      </w:r>
      <w:r w:rsidR="009D447B" w:rsidRPr="009D447B">
        <w:rPr>
          <w:b/>
          <w:bCs/>
          <w:lang w:eastAsia="ru-RU"/>
        </w:rPr>
        <w:t>«</w:t>
      </w:r>
      <w:r>
        <w:rPr>
          <w:b/>
          <w:bCs/>
          <w:lang w:eastAsia="ru-RU"/>
        </w:rPr>
        <w:t>СУДЕБНО-МЕДИЦИНСКАЯ ЭКСПЕРТИЗА</w:t>
      </w:r>
      <w:r w:rsidR="009D447B" w:rsidRPr="009D447B">
        <w:rPr>
          <w:b/>
          <w:bCs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9D447B" w:rsidRDefault="009D447B" w:rsidP="00CB7E61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="00CB7E61">
              <w:rPr>
                <w:bCs/>
                <w:sz w:val="24"/>
                <w:szCs w:val="24"/>
                <w:lang w:eastAsia="ru-RU"/>
              </w:rPr>
              <w:t>Судебная медицина</w:t>
            </w:r>
            <w:r w:rsidRPr="009D447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9D447B" w:rsidP="00511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447B">
              <w:rPr>
                <w:b/>
                <w:sz w:val="24"/>
                <w:szCs w:val="24"/>
              </w:rPr>
              <w:t>1008/28</w:t>
            </w:r>
          </w:p>
        </w:tc>
      </w:tr>
      <w:tr w:rsidR="000834AC" w:rsidRPr="00681992" w:rsidTr="00E76017">
        <w:trPr>
          <w:trHeight w:val="4231"/>
        </w:trPr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E76017" w:rsidRDefault="009D447B" w:rsidP="00E76017">
            <w:pPr>
              <w:spacing w:after="200" w:line="100" w:lineRule="atLeast"/>
              <w:rPr>
                <w:rFonts w:eastAsia="Times New Roman"/>
                <w:sz w:val="24"/>
                <w:szCs w:val="24"/>
              </w:rPr>
            </w:pPr>
            <w:r w:rsidRPr="00E76017">
              <w:rPr>
                <w:sz w:val="24"/>
                <w:szCs w:val="24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ординатора, формирование профессиональных компетенций врача-специалиста, </w:t>
            </w:r>
            <w:r w:rsidR="00E76017" w:rsidRPr="00E76017">
              <w:rPr>
                <w:sz w:val="24"/>
                <w:szCs w:val="24"/>
              </w:rPr>
              <w:t>обеспечивающих решение профессиональных задач и применение ими алгоритма врачебной деятельности по профилю «С</w:t>
            </w:r>
            <w:r w:rsidR="00E76017">
              <w:rPr>
                <w:sz w:val="24"/>
                <w:szCs w:val="24"/>
              </w:rPr>
              <w:t>удебно-медицинская экспертиза»</w:t>
            </w:r>
            <w:proofErr w:type="gramStart"/>
            <w:r w:rsidR="00E76017">
              <w:rPr>
                <w:sz w:val="24"/>
                <w:szCs w:val="24"/>
              </w:rPr>
              <w:t>.П</w:t>
            </w:r>
            <w:proofErr w:type="gramEnd"/>
            <w:r w:rsidR="00E76017" w:rsidRPr="00E76017">
              <w:rPr>
                <w:sz w:val="24"/>
                <w:szCs w:val="24"/>
              </w:rPr>
              <w:t xml:space="preserve">одготовка квалифицированного специалиста, который должен обладать системой общекультурных и профессиональных компетенций.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A14800" w:rsidP="00AC1AA7">
            <w:pPr>
              <w:spacing w:after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>Базовая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AC1AA7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>Основной образовательной программы высшего образования по специальности «Лечебное дело» или «Педиатрия».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9D447B" w:rsidP="00F03256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</w:t>
            </w:r>
            <w:r w:rsidR="00E76017">
              <w:rPr>
                <w:sz w:val="24"/>
                <w:szCs w:val="24"/>
                <w:lang w:eastAsia="ru-RU"/>
              </w:rPr>
              <w:t xml:space="preserve">токсикология </w:t>
            </w:r>
            <w:r w:rsidR="00416C71">
              <w:rPr>
                <w:sz w:val="24"/>
                <w:szCs w:val="24"/>
                <w:lang w:eastAsia="ru-RU"/>
              </w:rPr>
              <w:t>и практик</w:t>
            </w:r>
            <w:r w:rsidRPr="009D447B">
              <w:rPr>
                <w:sz w:val="24"/>
                <w:szCs w:val="24"/>
                <w:lang w:eastAsia="ru-RU"/>
              </w:rPr>
              <w:t xml:space="preserve">: </w:t>
            </w:r>
            <w:r w:rsidR="00F03256">
              <w:rPr>
                <w:sz w:val="24"/>
                <w:szCs w:val="24"/>
              </w:rPr>
              <w:t>судебно-медицинская экспертиза трупа</w:t>
            </w:r>
            <w:r w:rsidRPr="009D447B">
              <w:rPr>
                <w:sz w:val="24"/>
                <w:szCs w:val="24"/>
              </w:rPr>
              <w:t xml:space="preserve">, </w:t>
            </w:r>
            <w:r w:rsidR="00F03256">
              <w:rPr>
                <w:sz w:val="24"/>
                <w:szCs w:val="24"/>
              </w:rPr>
              <w:t>судебно-медицинская экспертиза свидетельствуемого</w:t>
            </w:r>
            <w:r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9D447B" w:rsidRPr="00D456A3" w:rsidRDefault="00F03256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психолого-педагогическая</w:t>
            </w:r>
            <w:r w:rsidR="009D447B" w:rsidRPr="00D456A3">
              <w:t xml:space="preserve">; </w:t>
            </w:r>
          </w:p>
          <w:p w:rsidR="00A14800" w:rsidRPr="009D447B" w:rsidRDefault="00F03256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организационно-управленческая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F0325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УК-1, ПК-1, </w:t>
            </w:r>
            <w:r w:rsidR="00F03256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833ED" w:rsidRPr="00681992" w:rsidTr="002833ED">
        <w:trPr>
          <w:trHeight w:val="9773"/>
        </w:trPr>
        <w:tc>
          <w:tcPr>
            <w:tcW w:w="3794" w:type="dxa"/>
            <w:shd w:val="clear" w:color="auto" w:fill="auto"/>
          </w:tcPr>
          <w:p w:rsidR="002833ED" w:rsidRPr="00681992" w:rsidRDefault="002833ED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Содержание  дисциплины</w:t>
            </w:r>
          </w:p>
        </w:tc>
        <w:tc>
          <w:tcPr>
            <w:tcW w:w="4536" w:type="dxa"/>
            <w:shd w:val="clear" w:color="auto" w:fill="auto"/>
          </w:tcPr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 w:rsidRPr="00B737C6">
              <w:rPr>
                <w:b/>
                <w:sz w:val="24"/>
                <w:szCs w:val="24"/>
              </w:rPr>
              <w:t>РАЗДЕЛ 1 . Предмет, задачи судебной медицины. Правила</w:t>
            </w:r>
            <w:r>
              <w:rPr>
                <w:b/>
                <w:sz w:val="24"/>
                <w:szCs w:val="24"/>
              </w:rPr>
              <w:t xml:space="preserve"> и основы </w:t>
            </w:r>
            <w:r w:rsidRPr="00B737C6">
              <w:rPr>
                <w:b/>
                <w:sz w:val="24"/>
                <w:szCs w:val="24"/>
              </w:rPr>
              <w:t>судебно-медицинского исследования.</w:t>
            </w:r>
          </w:p>
          <w:p w:rsidR="002833ED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>Предмет и содержание судебной медицины (история). Процессуальные и организационные основы судебно-медицинской экспертизы в РФ.</w:t>
            </w:r>
            <w:r>
              <w:rPr>
                <w:sz w:val="24"/>
                <w:szCs w:val="24"/>
              </w:rPr>
              <w:t xml:space="preserve"> Нормативные документы по судебно-медицинской экспертной деятельности. Объекты и методы исследования.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Общая </w:t>
            </w:r>
            <w:r w:rsidRPr="00B737C6">
              <w:rPr>
                <w:sz w:val="24"/>
                <w:szCs w:val="24"/>
              </w:rPr>
              <w:t>танатология.</w:t>
            </w:r>
            <w:r>
              <w:rPr>
                <w:sz w:val="24"/>
                <w:szCs w:val="24"/>
              </w:rPr>
              <w:t xml:space="preserve"> Экспертиза (исследование) трупа</w:t>
            </w:r>
            <w:r w:rsidRPr="00B737C6">
              <w:rPr>
                <w:sz w:val="24"/>
                <w:szCs w:val="24"/>
              </w:rPr>
              <w:t>. Осмотр трупа на месте происшествия.</w:t>
            </w:r>
            <w:r>
              <w:rPr>
                <w:sz w:val="24"/>
                <w:szCs w:val="24"/>
              </w:rPr>
              <w:t xml:space="preserve"> Участие эксперта в оперативно-следственных действиях. </w:t>
            </w:r>
            <w:r w:rsidRPr="00B737C6">
              <w:rPr>
                <w:sz w:val="24"/>
                <w:szCs w:val="24"/>
              </w:rPr>
              <w:t xml:space="preserve"> Установление давности наступления смерти.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Общие принципы судебно-медицинской</w:t>
            </w:r>
            <w:r w:rsidRPr="00B737C6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 трупов плодов и</w:t>
            </w:r>
            <w:r w:rsidRPr="00B737C6">
              <w:rPr>
                <w:sz w:val="24"/>
                <w:szCs w:val="24"/>
              </w:rPr>
              <w:t xml:space="preserve"> новорожденн</w:t>
            </w:r>
            <w:r>
              <w:rPr>
                <w:sz w:val="24"/>
                <w:szCs w:val="24"/>
              </w:rPr>
              <w:t>ых детей</w:t>
            </w:r>
            <w:r w:rsidRPr="00B737C6">
              <w:rPr>
                <w:sz w:val="24"/>
                <w:szCs w:val="24"/>
              </w:rPr>
              <w:t>.</w:t>
            </w:r>
          </w:p>
          <w:p w:rsidR="002833ED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Судебно-медицинская диагностика скоропостижной смерти.</w:t>
            </w:r>
          </w:p>
          <w:p w:rsidR="002833ED" w:rsidRPr="00B737C6" w:rsidRDefault="002833ED" w:rsidP="002833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7C6">
              <w:rPr>
                <w:b/>
                <w:sz w:val="24"/>
                <w:szCs w:val="24"/>
              </w:rPr>
              <w:t>РАЗДЕЛ 2. Судебно-медицинская травматология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>Общие вопросы судебно-медицинской травматологии.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Механогенез</w:t>
            </w:r>
            <w:proofErr w:type="spellEnd"/>
            <w:r>
              <w:rPr>
                <w:sz w:val="24"/>
                <w:szCs w:val="24"/>
              </w:rPr>
              <w:t xml:space="preserve"> механической травмы. Принципы разрушения материалов.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повреждений </w:t>
            </w:r>
            <w:r>
              <w:rPr>
                <w:sz w:val="24"/>
                <w:szCs w:val="24"/>
              </w:rPr>
              <w:t>мягких тканей и костей скелета, причиненных</w:t>
            </w:r>
            <w:r w:rsidRPr="00B737C6">
              <w:rPr>
                <w:sz w:val="24"/>
                <w:szCs w:val="24"/>
              </w:rPr>
              <w:t xml:space="preserve"> тупыми твердыми </w:t>
            </w:r>
            <w:r>
              <w:rPr>
                <w:sz w:val="24"/>
                <w:szCs w:val="24"/>
              </w:rPr>
              <w:t>объек</w:t>
            </w:r>
            <w:r w:rsidRPr="00B737C6">
              <w:rPr>
                <w:sz w:val="24"/>
                <w:szCs w:val="24"/>
              </w:rPr>
              <w:t>тами.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повреждений </w:t>
            </w:r>
            <w:r>
              <w:rPr>
                <w:sz w:val="24"/>
                <w:szCs w:val="24"/>
              </w:rPr>
              <w:t xml:space="preserve">мягких тканей и костей скелета, причиненных </w:t>
            </w:r>
            <w:r w:rsidRPr="00B737C6">
              <w:rPr>
                <w:sz w:val="24"/>
                <w:szCs w:val="24"/>
              </w:rPr>
              <w:t xml:space="preserve">острыми </w:t>
            </w:r>
            <w:r>
              <w:rPr>
                <w:sz w:val="24"/>
                <w:szCs w:val="24"/>
              </w:rPr>
              <w:t>объек</w:t>
            </w:r>
            <w:r w:rsidRPr="00B737C6">
              <w:rPr>
                <w:sz w:val="24"/>
                <w:szCs w:val="24"/>
              </w:rPr>
              <w:t>тами.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B737C6">
              <w:rPr>
                <w:sz w:val="24"/>
                <w:szCs w:val="24"/>
              </w:rPr>
              <w:t>Судебно-медицинская экспертиза огнестрельных повреждений.</w:t>
            </w:r>
          </w:p>
          <w:p w:rsidR="002833ED" w:rsidRPr="00B737C6" w:rsidRDefault="002833ED" w:rsidP="002833ED">
            <w:pPr>
              <w:tabs>
                <w:tab w:val="left" w:pos="91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B737C6">
              <w:rPr>
                <w:sz w:val="24"/>
                <w:szCs w:val="24"/>
              </w:rPr>
              <w:t>Судебно-медицинская экспертиза механической асфиксии.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B737C6">
              <w:rPr>
                <w:sz w:val="24"/>
                <w:szCs w:val="24"/>
              </w:rPr>
              <w:t>Судебно-медицинская экспертиза транспортной травмы и падения с высоты.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B737C6">
              <w:rPr>
                <w:b/>
                <w:sz w:val="24"/>
                <w:szCs w:val="24"/>
              </w:rPr>
              <w:t>. Судебно-медицинская экспертиза живых лиц.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>Судебно-медицинская экспертиза потерпевших подозреваемых и других лиц.</w:t>
            </w:r>
            <w:r>
              <w:rPr>
                <w:sz w:val="24"/>
                <w:szCs w:val="24"/>
              </w:rPr>
              <w:t xml:space="preserve"> Экспертиза установления тяжести причиненного вреда здоровью.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</w:t>
            </w:r>
            <w:r>
              <w:rPr>
                <w:sz w:val="24"/>
                <w:szCs w:val="24"/>
              </w:rPr>
              <w:t>полового состояния, беременности, родов, аборта, половых преступлений</w:t>
            </w:r>
            <w:r w:rsidRPr="00B737C6">
              <w:rPr>
                <w:sz w:val="24"/>
                <w:szCs w:val="24"/>
              </w:rPr>
              <w:t>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B737C6">
              <w:rPr>
                <w:b/>
                <w:sz w:val="24"/>
                <w:szCs w:val="24"/>
              </w:rPr>
              <w:t>. Воздействие физических и химических факторов.</w:t>
            </w:r>
          </w:p>
          <w:p w:rsidR="002833ED" w:rsidRPr="00B737C6" w:rsidRDefault="002833ED" w:rsidP="002833ED">
            <w:pPr>
              <w:tabs>
                <w:tab w:val="left" w:pos="9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</w:t>
            </w:r>
            <w:r w:rsidRPr="00B737C6">
              <w:rPr>
                <w:sz w:val="24"/>
                <w:szCs w:val="24"/>
              </w:rPr>
              <w:lastRenderedPageBreak/>
              <w:t xml:space="preserve">в случаях смерти от действия физических факторов внешней среды </w:t>
            </w:r>
            <w:r>
              <w:rPr>
                <w:sz w:val="24"/>
                <w:szCs w:val="24"/>
              </w:rPr>
              <w:t>Воздействие высокой и низкой температуры, технического и атмосферного электричества, высокого и низкого барометрического давления.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B737C6">
              <w:rPr>
                <w:sz w:val="24"/>
                <w:szCs w:val="24"/>
              </w:rPr>
              <w:t>Судебно-медицинская экспертиза при отравлениях.</w:t>
            </w:r>
            <w:r>
              <w:rPr>
                <w:sz w:val="24"/>
                <w:szCs w:val="24"/>
              </w:rPr>
              <w:t xml:space="preserve"> Общие данные, понятие о ядах и отравлениях. Условия действия ядов, классификация. Диагностика отравлений по группам.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 w:rsidRPr="00B737C6">
              <w:rPr>
                <w:b/>
                <w:sz w:val="24"/>
                <w:szCs w:val="24"/>
              </w:rPr>
              <w:t>РАЗДЕЛ 5. Судебно-медицинские лабораторные экспертизы вещественных доказательств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>Судебно-медицинская экспертиза вещественных доказательств биологического происхождения.</w:t>
            </w:r>
            <w:r>
              <w:rPr>
                <w:sz w:val="24"/>
                <w:szCs w:val="24"/>
              </w:rPr>
              <w:t xml:space="preserve"> Порядок, изъятие, направление. Исследование следов крови, выделений, волос.</w:t>
            </w:r>
          </w:p>
          <w:p w:rsidR="002833ED" w:rsidRPr="00B737C6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B737C6">
              <w:rPr>
                <w:sz w:val="24"/>
                <w:szCs w:val="24"/>
              </w:rPr>
              <w:t>Судебно-медицинская идентификация личности. Судебно-медицинская экспертиза возраста.</w:t>
            </w:r>
          </w:p>
          <w:p w:rsidR="002833ED" w:rsidRPr="00C31A63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 w:rsidRPr="00C31A63">
              <w:rPr>
                <w:b/>
                <w:sz w:val="24"/>
                <w:szCs w:val="24"/>
              </w:rPr>
              <w:t>РАЗДЕЛ 6.</w:t>
            </w:r>
            <w:r w:rsidRPr="00C31A63">
              <w:rPr>
                <w:sz w:val="24"/>
                <w:szCs w:val="24"/>
              </w:rPr>
              <w:t xml:space="preserve"> </w:t>
            </w:r>
            <w:r w:rsidRPr="00C31A63">
              <w:rPr>
                <w:b/>
                <w:sz w:val="24"/>
                <w:szCs w:val="24"/>
              </w:rPr>
              <w:t>Ответственность медицинских работников за профессиональные правонарушения.</w:t>
            </w:r>
          </w:p>
          <w:p w:rsidR="002833ED" w:rsidRPr="00912398" w:rsidRDefault="002833ED" w:rsidP="00283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Pr="00912398">
              <w:rPr>
                <w:color w:val="000000"/>
                <w:sz w:val="24"/>
                <w:szCs w:val="24"/>
              </w:rPr>
              <w:t>Основные понятия о преступлении. Классификация профессиональных правонарушений медицинских работников</w:t>
            </w:r>
          </w:p>
          <w:p w:rsidR="002833ED" w:rsidRPr="00912398" w:rsidRDefault="002833ED" w:rsidP="002833ED">
            <w:pPr>
              <w:pStyle w:val="4"/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Тема 2. </w:t>
            </w:r>
            <w:r w:rsidRPr="00912398">
              <w:rPr>
                <w:b w:val="0"/>
                <w:color w:val="000000"/>
                <w:sz w:val="24"/>
                <w:szCs w:val="24"/>
              </w:rPr>
              <w:t>Судебно-медицинская экспертиза при расследовании уголовных дел о профессиональных правонарушениях медицинских работников</w:t>
            </w:r>
          </w:p>
          <w:p w:rsidR="002833ED" w:rsidRPr="00B737C6" w:rsidRDefault="002833ED" w:rsidP="002833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833ED" w:rsidRPr="00681992" w:rsidRDefault="002833ED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833ED" w:rsidRPr="00681992" w:rsidTr="002833ED">
        <w:trPr>
          <w:trHeight w:val="843"/>
        </w:trPr>
        <w:tc>
          <w:tcPr>
            <w:tcW w:w="3794" w:type="dxa"/>
            <w:shd w:val="clear" w:color="auto" w:fill="auto"/>
          </w:tcPr>
          <w:p w:rsidR="002833ED" w:rsidRPr="00681992" w:rsidRDefault="002833ED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2833ED" w:rsidRPr="002833ED" w:rsidRDefault="002833ED" w:rsidP="00747E1E">
            <w:pPr>
              <w:jc w:val="both"/>
              <w:rPr>
                <w:b/>
                <w:sz w:val="24"/>
                <w:szCs w:val="24"/>
              </w:rPr>
            </w:pPr>
            <w:r w:rsidRPr="002833ED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2833ED" w:rsidRPr="00681992" w:rsidRDefault="002833ED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3BD5D0C"/>
    <w:multiLevelType w:val="hybridMultilevel"/>
    <w:tmpl w:val="3B2086D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4AC"/>
    <w:rsid w:val="00047BED"/>
    <w:rsid w:val="000834AC"/>
    <w:rsid w:val="001B3C6D"/>
    <w:rsid w:val="002833ED"/>
    <w:rsid w:val="00344BFA"/>
    <w:rsid w:val="00416C71"/>
    <w:rsid w:val="004E762C"/>
    <w:rsid w:val="00511A0E"/>
    <w:rsid w:val="00591B78"/>
    <w:rsid w:val="005D58B6"/>
    <w:rsid w:val="00681992"/>
    <w:rsid w:val="006E08FE"/>
    <w:rsid w:val="008D61ED"/>
    <w:rsid w:val="00917B9B"/>
    <w:rsid w:val="009D21F2"/>
    <w:rsid w:val="009D447B"/>
    <w:rsid w:val="00A14800"/>
    <w:rsid w:val="00AC1AA7"/>
    <w:rsid w:val="00C11FEB"/>
    <w:rsid w:val="00C473C0"/>
    <w:rsid w:val="00CB7E61"/>
    <w:rsid w:val="00D218FB"/>
    <w:rsid w:val="00D92014"/>
    <w:rsid w:val="00DD47D3"/>
    <w:rsid w:val="00E76017"/>
    <w:rsid w:val="00E94754"/>
    <w:rsid w:val="00F03256"/>
    <w:rsid w:val="00F4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D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2833ED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833ED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nhideWhenUsed/>
    <w:qFormat/>
    <w:rsid w:val="002833ED"/>
    <w:pPr>
      <w:keepNext/>
      <w:numPr>
        <w:ilvl w:val="2"/>
        <w:numId w:val="3"/>
      </w:numPr>
      <w:suppressAutoHyphens/>
      <w:spacing w:after="0" w:line="240" w:lineRule="auto"/>
      <w:ind w:left="1080" w:firstLine="0"/>
      <w:jc w:val="both"/>
      <w:outlineLvl w:val="2"/>
    </w:pPr>
    <w:rPr>
      <w:rFonts w:eastAsia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833ED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eastAsia="Times New Roman"/>
      <w:b/>
      <w:bCs/>
      <w:lang w:eastAsia="zh-CN"/>
    </w:rPr>
  </w:style>
  <w:style w:type="paragraph" w:styleId="5">
    <w:name w:val="heading 5"/>
    <w:basedOn w:val="a"/>
    <w:next w:val="a"/>
    <w:link w:val="50"/>
    <w:unhideWhenUsed/>
    <w:qFormat/>
    <w:rsid w:val="002833ED"/>
    <w:pPr>
      <w:keepNext/>
      <w:numPr>
        <w:ilvl w:val="4"/>
        <w:numId w:val="3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eastAsia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2833ED"/>
    <w:pPr>
      <w:keepNext/>
      <w:numPr>
        <w:ilvl w:val="5"/>
        <w:numId w:val="3"/>
      </w:numPr>
      <w:suppressAutoHyphens/>
      <w:spacing w:after="0" w:line="240" w:lineRule="auto"/>
      <w:ind w:left="720" w:firstLine="0"/>
      <w:outlineLvl w:val="5"/>
    </w:pPr>
    <w:rPr>
      <w:rFonts w:eastAsia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833ED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2833ED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833ED"/>
    <w:pPr>
      <w:numPr>
        <w:ilvl w:val="8"/>
        <w:numId w:val="3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F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833E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33E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833ED"/>
    <w:rPr>
      <w:rFonts w:eastAsia="Times New Roman"/>
      <w:sz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2833ED"/>
    <w:rPr>
      <w:rFonts w:eastAsia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2833ED"/>
    <w:rPr>
      <w:rFonts w:eastAsia="Times New Roman"/>
      <w:sz w:val="24"/>
      <w:lang w:eastAsia="zh-CN"/>
    </w:rPr>
  </w:style>
  <w:style w:type="character" w:customStyle="1" w:styleId="60">
    <w:name w:val="Заголовок 6 Знак"/>
    <w:basedOn w:val="a0"/>
    <w:link w:val="6"/>
    <w:rsid w:val="002833ED"/>
    <w:rPr>
      <w:rFonts w:eastAsia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833ED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833ED"/>
    <w:rPr>
      <w:rFonts w:eastAsia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2833ED"/>
    <w:rPr>
      <w:rFonts w:ascii="Arial" w:eastAsia="Times New Roman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2019-09-04T09:36:00Z</dcterms:created>
  <dcterms:modified xsi:type="dcterms:W3CDTF">2019-09-04T10:16:00Z</dcterms:modified>
</cp:coreProperties>
</file>